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E1BB" w14:textId="1543E566" w:rsidR="00872ED9" w:rsidRPr="007046C9" w:rsidRDefault="00872ED9" w:rsidP="00785851"/>
    <w:p w14:paraId="50536C5F" w14:textId="57DDDE74" w:rsidR="00785851" w:rsidRDefault="00785851" w:rsidP="00785851">
      <w:pPr>
        <w:jc w:val="center"/>
        <w:rPr>
          <w:b/>
          <w:bCs/>
        </w:rPr>
      </w:pPr>
      <w:r w:rsidRPr="007046C9">
        <w:rPr>
          <w:b/>
          <w:bCs/>
        </w:rPr>
        <w:t>Job Description</w:t>
      </w:r>
    </w:p>
    <w:p w14:paraId="5174525C" w14:textId="77777777" w:rsidR="009218E3" w:rsidRPr="007046C9" w:rsidRDefault="009218E3" w:rsidP="00785851">
      <w:pPr>
        <w:jc w:val="center"/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2977"/>
        <w:gridCol w:w="1984"/>
        <w:gridCol w:w="2835"/>
      </w:tblGrid>
      <w:tr w:rsidR="00785851" w:rsidRPr="007046C9" w14:paraId="57F2603C" w14:textId="77777777" w:rsidTr="005B73DE">
        <w:tc>
          <w:tcPr>
            <w:tcW w:w="1413" w:type="dxa"/>
            <w:shd w:val="clear" w:color="auto" w:fill="F2F2F2" w:themeFill="background1" w:themeFillShade="F2"/>
          </w:tcPr>
          <w:p w14:paraId="7FAC1A9B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C5C5528" w14:textId="4D3B86B8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Role</w:t>
            </w:r>
          </w:p>
          <w:p w14:paraId="30905936" w14:textId="79696262" w:rsidR="00785851" w:rsidRPr="007046C9" w:rsidRDefault="00785851" w:rsidP="0078585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2E4422A6" w14:textId="77777777" w:rsidR="00E146C5" w:rsidRPr="007046C9" w:rsidRDefault="00E146C5" w:rsidP="00DF17CF"/>
          <w:p w14:paraId="2CBB451C" w14:textId="5A3E65A7" w:rsidR="005B73DE" w:rsidRPr="007046C9" w:rsidRDefault="00371E9E" w:rsidP="00DF17CF">
            <w:r>
              <w:t xml:space="preserve">Fixed Term </w:t>
            </w:r>
            <w:r w:rsidR="000D7892" w:rsidRPr="007046C9">
              <w:t>Teaching Assistant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F34977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27570A81" w14:textId="08859D61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Team</w:t>
            </w:r>
          </w:p>
        </w:tc>
        <w:tc>
          <w:tcPr>
            <w:tcW w:w="2835" w:type="dxa"/>
          </w:tcPr>
          <w:p w14:paraId="599CD4F5" w14:textId="77777777" w:rsidR="000D7892" w:rsidRPr="007046C9" w:rsidRDefault="000D7892" w:rsidP="00785851"/>
          <w:p w14:paraId="513ACDB4" w14:textId="21B937C2" w:rsidR="005B73DE" w:rsidRPr="007046C9" w:rsidRDefault="000D7892" w:rsidP="00785851">
            <w:r w:rsidRPr="007046C9">
              <w:t>Support Staff</w:t>
            </w:r>
          </w:p>
        </w:tc>
      </w:tr>
      <w:tr w:rsidR="00785851" w:rsidRPr="007046C9" w14:paraId="0669A3A6" w14:textId="77777777" w:rsidTr="005B73DE">
        <w:tc>
          <w:tcPr>
            <w:tcW w:w="1413" w:type="dxa"/>
            <w:shd w:val="clear" w:color="auto" w:fill="F2F2F2" w:themeFill="background1" w:themeFillShade="F2"/>
          </w:tcPr>
          <w:p w14:paraId="4DA65F0B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862C294" w14:textId="39675EA3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Reports To</w:t>
            </w:r>
          </w:p>
        </w:tc>
        <w:tc>
          <w:tcPr>
            <w:tcW w:w="2977" w:type="dxa"/>
          </w:tcPr>
          <w:p w14:paraId="051CD535" w14:textId="26A5C478" w:rsidR="00785851" w:rsidRPr="007046C9" w:rsidRDefault="005B73DE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 xml:space="preserve"> </w:t>
            </w:r>
          </w:p>
          <w:p w14:paraId="7ECF78BC" w14:textId="6ECE0A7E" w:rsidR="005B73DE" w:rsidRPr="007046C9" w:rsidRDefault="00E51AF7" w:rsidP="00785851">
            <w:r>
              <w:t>HLTA/Line Manager</w:t>
            </w:r>
          </w:p>
          <w:p w14:paraId="4FCF6701" w14:textId="43898628" w:rsidR="00DF17CF" w:rsidRPr="007046C9" w:rsidRDefault="00DF17CF" w:rsidP="00DF17CF"/>
        </w:tc>
        <w:tc>
          <w:tcPr>
            <w:tcW w:w="1984" w:type="dxa"/>
            <w:shd w:val="clear" w:color="auto" w:fill="F2F2F2" w:themeFill="background1" w:themeFillShade="F2"/>
          </w:tcPr>
          <w:p w14:paraId="17981318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55C9CA6B" w14:textId="77777777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Responsible For</w:t>
            </w:r>
          </w:p>
          <w:p w14:paraId="62AF76E4" w14:textId="785608AF" w:rsidR="00785851" w:rsidRPr="007046C9" w:rsidRDefault="00785851" w:rsidP="00785851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895F4B8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070E764" w14:textId="77777777" w:rsidR="005B73DE" w:rsidRPr="007046C9" w:rsidRDefault="005B73DE" w:rsidP="00785851">
            <w:pPr>
              <w:rPr>
                <w:b/>
                <w:bCs/>
              </w:rPr>
            </w:pPr>
          </w:p>
        </w:tc>
      </w:tr>
    </w:tbl>
    <w:p w14:paraId="7834142E" w14:textId="77777777" w:rsidR="009218E3" w:rsidRPr="007046C9" w:rsidRDefault="009218E3" w:rsidP="00785851">
      <w:pPr>
        <w:rPr>
          <w:b/>
          <w:bCs/>
        </w:rPr>
      </w:pPr>
    </w:p>
    <w:p w14:paraId="5CB33D31" w14:textId="7733EEA9" w:rsidR="00785851" w:rsidRPr="007046C9" w:rsidRDefault="00785851" w:rsidP="00785851">
      <w:pPr>
        <w:pBdr>
          <w:bottom w:val="single" w:sz="6" w:space="7" w:color="auto"/>
        </w:pBdr>
        <w:rPr>
          <w:b/>
          <w:bCs/>
        </w:rPr>
      </w:pPr>
      <w:r w:rsidRPr="007046C9">
        <w:rPr>
          <w:b/>
          <w:bCs/>
        </w:rPr>
        <w:t>Job Summary</w:t>
      </w:r>
    </w:p>
    <w:p w14:paraId="621AA712" w14:textId="725E2EA9" w:rsidR="00371E9E" w:rsidRPr="00371E9E" w:rsidRDefault="00371E9E" w:rsidP="00785851">
      <w:pPr>
        <w:rPr>
          <w:b/>
          <w:bCs/>
        </w:rPr>
      </w:pPr>
      <w:r w:rsidRPr="00371E9E">
        <w:rPr>
          <w:b/>
          <w:bCs/>
        </w:rPr>
        <w:t>Fixed Term until 19</w:t>
      </w:r>
      <w:r w:rsidRPr="00371E9E">
        <w:rPr>
          <w:b/>
          <w:bCs/>
          <w:vertAlign w:val="superscript"/>
        </w:rPr>
        <w:t>th</w:t>
      </w:r>
      <w:r w:rsidRPr="00371E9E">
        <w:rPr>
          <w:b/>
          <w:bCs/>
        </w:rPr>
        <w:t xml:space="preserve"> December 2025.</w:t>
      </w:r>
    </w:p>
    <w:p w14:paraId="2E62EA22" w14:textId="26CEAEF5" w:rsidR="009218E3" w:rsidRDefault="00E51AF7" w:rsidP="00785851">
      <w:r>
        <w:t>To work under the direction of the teaching and senior staff to support pupils’ learning and welfare, help ensure the smooth running of department and assist in the delivery of high-quality education. You will work to promote equality of opportunity, safeguard children’s welfare, maintain confidentiality and contribute positively to the life and ethos of the school.</w:t>
      </w:r>
    </w:p>
    <w:p w14:paraId="7563E1F0" w14:textId="7E726118" w:rsidR="00785851" w:rsidRDefault="00785851" w:rsidP="00785851">
      <w:pPr>
        <w:rPr>
          <w:b/>
          <w:bCs/>
        </w:rPr>
      </w:pPr>
      <w:r w:rsidRPr="007046C9">
        <w:rPr>
          <w:b/>
          <w:bCs/>
        </w:rPr>
        <w:t>Job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51AF7" w:rsidRPr="007046C9" w14:paraId="6448B399" w14:textId="77777777" w:rsidTr="003F1170">
        <w:tc>
          <w:tcPr>
            <w:tcW w:w="2122" w:type="dxa"/>
            <w:shd w:val="clear" w:color="auto" w:fill="F2F2F2" w:themeFill="background1" w:themeFillShade="F2"/>
          </w:tcPr>
          <w:p w14:paraId="587EC9F5" w14:textId="77777777" w:rsidR="00E51AF7" w:rsidRPr="007046C9" w:rsidRDefault="00E51AF7" w:rsidP="003F1170">
            <w:r w:rsidRPr="007046C9">
              <w:t>Key Areas</w:t>
            </w:r>
          </w:p>
        </w:tc>
        <w:tc>
          <w:tcPr>
            <w:tcW w:w="6894" w:type="dxa"/>
            <w:shd w:val="clear" w:color="auto" w:fill="F2F2F2" w:themeFill="background1" w:themeFillShade="F2"/>
          </w:tcPr>
          <w:p w14:paraId="1316946C" w14:textId="77777777" w:rsidR="00E51AF7" w:rsidRPr="007046C9" w:rsidRDefault="00E51AF7" w:rsidP="003F1170">
            <w:r w:rsidRPr="007046C9">
              <w:t>Tasks</w:t>
            </w:r>
          </w:p>
        </w:tc>
      </w:tr>
      <w:tr w:rsidR="009218E3" w:rsidRPr="007046C9" w14:paraId="3974E768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351E9008" w14:textId="47B5A877" w:rsidR="009218E3" w:rsidRPr="007046C9" w:rsidRDefault="009218E3" w:rsidP="003F1170">
            <w:r>
              <w:t>Support for Pupils</w:t>
            </w:r>
          </w:p>
        </w:tc>
        <w:tc>
          <w:tcPr>
            <w:tcW w:w="6894" w:type="dxa"/>
            <w:shd w:val="clear" w:color="auto" w:fill="FFFFFF" w:themeFill="background1"/>
          </w:tcPr>
          <w:p w14:paraId="708856C0" w14:textId="51271C57" w:rsidR="009218E3" w:rsidRPr="007046C9" w:rsidRDefault="009218E3" w:rsidP="003F1170">
            <w:r>
              <w:t xml:space="preserve">Attend to pupils’ personal needs, including implementing individual learning and care programmes covering social, health, hygiene and welfare </w:t>
            </w:r>
            <w:proofErr w:type="gramStart"/>
            <w:r>
              <w:t>needs</w:t>
            </w:r>
            <w:proofErr w:type="gramEnd"/>
          </w:p>
        </w:tc>
      </w:tr>
      <w:tr w:rsidR="009218E3" w:rsidRPr="007046C9" w14:paraId="41F8FD1F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E7CCA9D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5475B04B" w14:textId="12141351" w:rsidR="009218E3" w:rsidRDefault="009218E3" w:rsidP="003F1170">
            <w:r>
              <w:t>Supervise and support pupils in accessing learning and engaging in activities led by a teacher</w:t>
            </w:r>
          </w:p>
        </w:tc>
      </w:tr>
      <w:tr w:rsidR="009218E3" w:rsidRPr="007046C9" w14:paraId="291F8ED5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53080158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75286109" w14:textId="2E1455FD" w:rsidR="009218E3" w:rsidRDefault="009218E3" w:rsidP="003F1170">
            <w:r>
              <w:t>Promote inclusive practices and encourage interaction and independent learning</w:t>
            </w:r>
          </w:p>
        </w:tc>
      </w:tr>
      <w:tr w:rsidR="009218E3" w:rsidRPr="007046C9" w14:paraId="0D2A64F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66D00708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55AA9BDE" w14:textId="51D2681D" w:rsidR="009218E3" w:rsidRDefault="009218E3" w:rsidP="003F1170">
            <w:r>
              <w:t>Establish trusting relationships with pupils, acting as a positive role model and upholding dignity, mutual trust and respect.</w:t>
            </w:r>
          </w:p>
        </w:tc>
      </w:tr>
      <w:tr w:rsidR="009218E3" w:rsidRPr="007046C9" w14:paraId="733856D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4D2DF323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76D562B3" w14:textId="4B972B7A" w:rsidR="009218E3" w:rsidRDefault="009218E3" w:rsidP="003F1170">
            <w:r>
              <w:t>Maintain high expectations of behaviour, promoting self-control and independence</w:t>
            </w:r>
          </w:p>
        </w:tc>
      </w:tr>
      <w:tr w:rsidR="009218E3" w:rsidRPr="007046C9" w14:paraId="6A079CE6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C1878AC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41DA2D46" w14:textId="33D8E361" w:rsidR="009218E3" w:rsidRDefault="009218E3" w:rsidP="003F1170">
            <w:r>
              <w:t>Support behaviour management using praise, sanctions and rewards consistently in line with GUST’s Behaviour Policy.</w:t>
            </w:r>
          </w:p>
        </w:tc>
      </w:tr>
      <w:tr w:rsidR="009218E3" w:rsidRPr="007046C9" w14:paraId="4E8EE26A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734652C2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6BE1BFFB" w14:textId="2E7DF6A8" w:rsidR="009218E3" w:rsidRDefault="009218E3" w:rsidP="003F1170">
            <w:r>
              <w:t>Promote and safeguard the welfare of the children and young people and report any concerns promptly.</w:t>
            </w:r>
          </w:p>
        </w:tc>
      </w:tr>
      <w:tr w:rsidR="009218E3" w:rsidRPr="007046C9" w14:paraId="20788DA3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404CEFD1" w14:textId="6B013649" w:rsidR="009218E3" w:rsidRDefault="009218E3" w:rsidP="003F1170">
            <w:r>
              <w:lastRenderedPageBreak/>
              <w:t>Support for Teachers</w:t>
            </w:r>
          </w:p>
        </w:tc>
        <w:tc>
          <w:tcPr>
            <w:tcW w:w="6894" w:type="dxa"/>
            <w:shd w:val="clear" w:color="auto" w:fill="FFFFFF" w:themeFill="background1"/>
          </w:tcPr>
          <w:p w14:paraId="6298F193" w14:textId="55DB3373" w:rsidR="009218E3" w:rsidRDefault="009218E3" w:rsidP="003F1170">
            <w:r>
              <w:t>Prepare and clear the classroom before and after lessons as directed</w:t>
            </w:r>
          </w:p>
        </w:tc>
      </w:tr>
      <w:tr w:rsidR="009218E3" w:rsidRPr="007046C9" w14:paraId="2B7480DE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A7ED152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2E311161" w14:textId="2EB54772" w:rsidR="009218E3" w:rsidRDefault="009218E3" w:rsidP="003F1170">
            <w:r>
              <w:t>Assist with displays of pupils’ work and help maintain classroom resources and equipment</w:t>
            </w:r>
          </w:p>
        </w:tc>
      </w:tr>
      <w:tr w:rsidR="009218E3" w:rsidRPr="007046C9" w14:paraId="021DE2A5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A1328CF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3C11635E" w14:textId="202CCF3C" w:rsidR="009218E3" w:rsidRDefault="009218E3" w:rsidP="003F1170">
            <w:r>
              <w:t>Report pupil progress, problems and achievements to the teachers</w:t>
            </w:r>
          </w:p>
        </w:tc>
      </w:tr>
      <w:tr w:rsidR="009218E3" w:rsidRPr="007046C9" w14:paraId="308895C2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064A2347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653800EE" w14:textId="1C9B8D67" w:rsidR="009218E3" w:rsidRDefault="009218E3" w:rsidP="003F1170">
            <w:r>
              <w:t>Maintain pupil records and provide basic clerical support such as photocopying, filing and work processing.</w:t>
            </w:r>
          </w:p>
        </w:tc>
      </w:tr>
      <w:tr w:rsidR="009218E3" w:rsidRPr="007046C9" w14:paraId="58F52325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87EA1B7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1D0EB9A8" w14:textId="1CE893AB" w:rsidR="009218E3" w:rsidRDefault="009218E3" w:rsidP="003F1170">
            <w:r>
              <w:t>Assist with managing pupil behaviour in line with school policies</w:t>
            </w:r>
          </w:p>
        </w:tc>
      </w:tr>
      <w:tr w:rsidR="009218E3" w:rsidRPr="007046C9" w14:paraId="0361875B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2998AE5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477234D4" w14:textId="61CA06D6" w:rsidR="009218E3" w:rsidRDefault="009218E3" w:rsidP="003F1170">
            <w:r>
              <w:t>Gather or provide information to parents/carers as directed</w:t>
            </w:r>
          </w:p>
        </w:tc>
      </w:tr>
      <w:tr w:rsidR="009218E3" w:rsidRPr="007046C9" w14:paraId="2C9FAF6D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5BBD420F" w14:textId="70972215" w:rsidR="009218E3" w:rsidRDefault="009218E3" w:rsidP="003F1170">
            <w:r>
              <w:t>Support for the Curriculum</w:t>
            </w:r>
          </w:p>
        </w:tc>
        <w:tc>
          <w:tcPr>
            <w:tcW w:w="6894" w:type="dxa"/>
            <w:shd w:val="clear" w:color="auto" w:fill="FFFFFF" w:themeFill="background1"/>
          </w:tcPr>
          <w:p w14:paraId="069C135E" w14:textId="43B5353D" w:rsidR="009218E3" w:rsidRDefault="009218E3" w:rsidP="003F1170">
            <w:r>
              <w:t>Help pupils understand instructions and support learning</w:t>
            </w:r>
          </w:p>
        </w:tc>
      </w:tr>
      <w:tr w:rsidR="009218E3" w:rsidRPr="007046C9" w14:paraId="02E7BE71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558D3135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24A5ACED" w14:textId="6D916F38" w:rsidR="009218E3" w:rsidRDefault="009218E3" w:rsidP="003F1170">
            <w:r>
              <w:t>Support the ice of ICT and prepare resources as required</w:t>
            </w:r>
          </w:p>
        </w:tc>
      </w:tr>
      <w:tr w:rsidR="009218E3" w:rsidRPr="007046C9" w14:paraId="2F525A8F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18A15891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00CF6495" w14:textId="4027A0E8" w:rsidR="009218E3" w:rsidRDefault="009218E3" w:rsidP="003F1170">
            <w:r>
              <w:t>Undertake development projects to support teaching priorities when requested</w:t>
            </w:r>
          </w:p>
        </w:tc>
      </w:tr>
      <w:tr w:rsidR="009218E3" w:rsidRPr="007046C9" w14:paraId="4AFDBA34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15631474" w14:textId="025C8C39" w:rsidR="009218E3" w:rsidRDefault="009218E3" w:rsidP="003F1170">
            <w:r>
              <w:t>Support for the School</w:t>
            </w:r>
          </w:p>
        </w:tc>
        <w:tc>
          <w:tcPr>
            <w:tcW w:w="6894" w:type="dxa"/>
            <w:shd w:val="clear" w:color="auto" w:fill="FFFFFF" w:themeFill="background1"/>
          </w:tcPr>
          <w:p w14:paraId="1514689B" w14:textId="61CEB35C" w:rsidR="009218E3" w:rsidRDefault="009218E3" w:rsidP="003F1170">
            <w:r>
              <w:t xml:space="preserve">Comply with school policies including Health &amp; Safety, Child Protection and Safeguarding, Equality &amp; Diversity, GDPR and </w:t>
            </w:r>
            <w:proofErr w:type="gramStart"/>
            <w:r>
              <w:t>Social Media</w:t>
            </w:r>
            <w:proofErr w:type="gramEnd"/>
            <w:r>
              <w:t xml:space="preserve"> etc. These can all be found on </w:t>
            </w:r>
            <w:proofErr w:type="spellStart"/>
            <w:r>
              <w:t>StaffShare</w:t>
            </w:r>
            <w:proofErr w:type="spellEnd"/>
            <w:r>
              <w:t xml:space="preserve"> and are updated annually.</w:t>
            </w:r>
          </w:p>
        </w:tc>
      </w:tr>
      <w:tr w:rsidR="009218E3" w:rsidRPr="007046C9" w14:paraId="62FA8EEA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06B0E21B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4ADEDE14" w14:textId="2631884A" w:rsidR="009218E3" w:rsidRDefault="009218E3" w:rsidP="003F1170">
            <w:r>
              <w:t>Promote the schools’ ethos, vision, aims and values in all interactions</w:t>
            </w:r>
          </w:p>
        </w:tc>
      </w:tr>
      <w:tr w:rsidR="009218E3" w:rsidRPr="007046C9" w14:paraId="02A7DEB9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4BEE95A7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1AEFF572" w14:textId="6D35E01A" w:rsidR="009218E3" w:rsidRDefault="009218E3" w:rsidP="003F1170">
            <w:r>
              <w:t>Assist with supervision of pupils outside the classroom, such as lunch time or on school trips</w:t>
            </w:r>
          </w:p>
        </w:tc>
      </w:tr>
      <w:tr w:rsidR="009218E3" w:rsidRPr="007046C9" w14:paraId="299DFE16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1BAD614D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657A8DC7" w14:textId="68E99513" w:rsidR="009218E3" w:rsidRDefault="009218E3" w:rsidP="003F1170">
            <w:r>
              <w:t>Register attendance and supervise pupils before, during or after lessons if required</w:t>
            </w:r>
          </w:p>
        </w:tc>
      </w:tr>
      <w:tr w:rsidR="009218E3" w:rsidRPr="007046C9" w14:paraId="454963B8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4438233A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38AC4E6C" w14:textId="635A3FAA" w:rsidR="009218E3" w:rsidRDefault="009218E3" w:rsidP="003F1170">
            <w:proofErr w:type="gramStart"/>
            <w:r>
              <w:t>Provide assistance</w:t>
            </w:r>
            <w:proofErr w:type="gramEnd"/>
            <w:r>
              <w:t xml:space="preserve"> and supervision to maintain a safe working environment and report any safety concerns promptly.</w:t>
            </w:r>
          </w:p>
        </w:tc>
      </w:tr>
      <w:tr w:rsidR="009218E3" w:rsidRPr="007046C9" w14:paraId="5C44923F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2B43EA68" w14:textId="32CA4BD9" w:rsidR="009218E3" w:rsidRDefault="009218E3" w:rsidP="003F1170">
            <w:r>
              <w:t>Teamwork and Professional Responsibilities</w:t>
            </w:r>
          </w:p>
        </w:tc>
        <w:tc>
          <w:tcPr>
            <w:tcW w:w="6894" w:type="dxa"/>
            <w:shd w:val="clear" w:color="auto" w:fill="FFFFFF" w:themeFill="background1"/>
          </w:tcPr>
          <w:p w14:paraId="67845F30" w14:textId="7CDFBFAF" w:rsidR="009218E3" w:rsidRDefault="009218E3" w:rsidP="003F1170">
            <w:r>
              <w:t>Work collaboratively with colleagues, parents/carers and external agencies to support pupils’ learning and well-being.</w:t>
            </w:r>
          </w:p>
        </w:tc>
      </w:tr>
      <w:tr w:rsidR="009218E3" w:rsidRPr="007046C9" w14:paraId="4519A3F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E216E55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23927831" w14:textId="22B97347" w:rsidR="009218E3" w:rsidRDefault="009218E3" w:rsidP="003F1170">
            <w:r>
              <w:t>Attend meetings and training to contribute to curriculum development, pastoral support and school improvement.</w:t>
            </w:r>
          </w:p>
        </w:tc>
      </w:tr>
      <w:tr w:rsidR="009218E3" w:rsidRPr="007046C9" w14:paraId="25C2C808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488420D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1A5ABAF3" w14:textId="308A70D2" w:rsidR="009218E3" w:rsidRDefault="009218E3" w:rsidP="003F1170">
            <w:r>
              <w:t>Undertake ongoing professional development and training, acting on feedback and appraisal outcomes</w:t>
            </w:r>
          </w:p>
        </w:tc>
      </w:tr>
      <w:tr w:rsidR="009218E3" w:rsidRPr="007046C9" w14:paraId="1FB61E5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02E3D24A" w14:textId="789B6E10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790714CE" w14:textId="4CBD1737" w:rsidR="009218E3" w:rsidRDefault="009218E3" w:rsidP="003F1170">
            <w:r>
              <w:t>Maintain confidentiality at all times and comply with GDPR and safeguarding requirements</w:t>
            </w:r>
          </w:p>
        </w:tc>
      </w:tr>
    </w:tbl>
    <w:p w14:paraId="5963C903" w14:textId="77777777" w:rsidR="00E51AF7" w:rsidRDefault="00E51AF7" w:rsidP="00785851">
      <w:pPr>
        <w:rPr>
          <w:b/>
          <w:bCs/>
        </w:rPr>
      </w:pPr>
    </w:p>
    <w:p w14:paraId="35F146D4" w14:textId="5F366A91" w:rsidR="00923910" w:rsidRDefault="00923910" w:rsidP="00785851">
      <w:r w:rsidRPr="007046C9">
        <w:t>The duties and responsibilities may vary over time</w:t>
      </w:r>
      <w:r w:rsidR="00E07920" w:rsidRPr="007046C9">
        <w:t xml:space="preserve">. Post holder is expected to undertake any other duties and responsibilities relevant to </w:t>
      </w:r>
      <w:r w:rsidR="001839AF" w:rsidRPr="007046C9">
        <w:t>the nature of the role</w:t>
      </w:r>
      <w:r w:rsidR="00DC3A42" w:rsidRPr="007046C9">
        <w:t xml:space="preserve"> or comply with any reasonable request by SLT. </w:t>
      </w:r>
    </w:p>
    <w:p w14:paraId="38480770" w14:textId="77777777" w:rsidR="009218E3" w:rsidRPr="007046C9" w:rsidRDefault="009218E3" w:rsidP="00785851"/>
    <w:p w14:paraId="4CDC73B8" w14:textId="400F07AE" w:rsidR="00785851" w:rsidRPr="007046C9" w:rsidRDefault="00785851" w:rsidP="00785851">
      <w:pPr>
        <w:rPr>
          <w:b/>
          <w:bCs/>
        </w:rPr>
      </w:pPr>
      <w:r w:rsidRPr="007046C9">
        <w:rPr>
          <w:b/>
          <w:bCs/>
        </w:rPr>
        <w:lastRenderedPageBreak/>
        <w:t>Work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85851" w:rsidRPr="007046C9" w14:paraId="36F436A0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3AF412B1" w14:textId="3ECA7116" w:rsidR="00785851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Transport Requirements</w:t>
            </w:r>
          </w:p>
        </w:tc>
        <w:tc>
          <w:tcPr>
            <w:tcW w:w="6894" w:type="dxa"/>
          </w:tcPr>
          <w:p w14:paraId="407DD8D5" w14:textId="4C82666C" w:rsidR="00785851" w:rsidRPr="007046C9" w:rsidRDefault="00C226AF" w:rsidP="00785851">
            <w:r w:rsidRPr="007046C9">
              <w:t>None</w:t>
            </w:r>
          </w:p>
        </w:tc>
      </w:tr>
      <w:tr w:rsidR="00785851" w:rsidRPr="007046C9" w14:paraId="2BB29BDA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51E06A65" w14:textId="5741A37F" w:rsidR="00785851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Working Pattern</w:t>
            </w:r>
          </w:p>
        </w:tc>
        <w:tc>
          <w:tcPr>
            <w:tcW w:w="6894" w:type="dxa"/>
          </w:tcPr>
          <w:p w14:paraId="295E8F77" w14:textId="5B5B7E5B" w:rsidR="00C226AF" w:rsidRPr="007046C9" w:rsidRDefault="00C226AF" w:rsidP="00785851">
            <w:r w:rsidRPr="007046C9">
              <w:t>Monday-Thursday: 8:30am-</w:t>
            </w:r>
            <w:r w:rsidR="00371E9E">
              <w:t>2:30</w:t>
            </w:r>
            <w:r w:rsidRPr="007046C9">
              <w:t>pm</w:t>
            </w:r>
            <w:r w:rsidRPr="007046C9">
              <w:br/>
              <w:t>Friday: 8:30am-</w:t>
            </w:r>
            <w:r w:rsidR="00371E9E">
              <w:t>1</w:t>
            </w:r>
            <w:r w:rsidRPr="007046C9">
              <w:t>pm</w:t>
            </w:r>
          </w:p>
        </w:tc>
      </w:tr>
      <w:tr w:rsidR="00E30B46" w:rsidRPr="007046C9" w14:paraId="3157694E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169FD761" w14:textId="71B99820" w:rsidR="00E30B46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Wor</w:t>
            </w:r>
            <w:r w:rsidR="005E2CB7" w:rsidRPr="007046C9">
              <w:rPr>
                <w:b/>
                <w:bCs/>
              </w:rPr>
              <w:t>k Location</w:t>
            </w:r>
          </w:p>
        </w:tc>
        <w:tc>
          <w:tcPr>
            <w:tcW w:w="6894" w:type="dxa"/>
          </w:tcPr>
          <w:p w14:paraId="0D167371" w14:textId="1406869C" w:rsidR="00E30B46" w:rsidRPr="007046C9" w:rsidRDefault="00C226AF" w:rsidP="00785851">
            <w:r w:rsidRPr="007046C9">
              <w:t>GUST Independent School</w:t>
            </w:r>
          </w:p>
        </w:tc>
      </w:tr>
    </w:tbl>
    <w:p w14:paraId="5A6432E5" w14:textId="77777777" w:rsidR="00785851" w:rsidRPr="007046C9" w:rsidRDefault="00785851" w:rsidP="00785851">
      <w:pPr>
        <w:rPr>
          <w:b/>
          <w:bCs/>
        </w:rPr>
      </w:pPr>
    </w:p>
    <w:sectPr w:rsidR="00785851" w:rsidRPr="007046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8C15" w14:textId="77777777" w:rsidR="00EC62CB" w:rsidRDefault="00EC62CB" w:rsidP="00785851">
      <w:pPr>
        <w:spacing w:after="0" w:line="240" w:lineRule="auto"/>
      </w:pPr>
      <w:r>
        <w:separator/>
      </w:r>
    </w:p>
  </w:endnote>
  <w:endnote w:type="continuationSeparator" w:id="0">
    <w:p w14:paraId="36C6D473" w14:textId="77777777" w:rsidR="00EC62CB" w:rsidRDefault="00EC62CB" w:rsidP="0078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BE70" w14:textId="77777777" w:rsidR="00EC62CB" w:rsidRDefault="00EC62CB" w:rsidP="00785851">
      <w:pPr>
        <w:spacing w:after="0" w:line="240" w:lineRule="auto"/>
      </w:pPr>
      <w:r>
        <w:separator/>
      </w:r>
    </w:p>
  </w:footnote>
  <w:footnote w:type="continuationSeparator" w:id="0">
    <w:p w14:paraId="49EECD45" w14:textId="77777777" w:rsidR="00EC62CB" w:rsidRDefault="00EC62CB" w:rsidP="0078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F703" w14:textId="3A3EE47A" w:rsidR="00785851" w:rsidRPr="00785851" w:rsidRDefault="00785851" w:rsidP="00785851">
    <w:pPr>
      <w:pStyle w:val="Header"/>
      <w:jc w:val="center"/>
    </w:pPr>
    <w:r>
      <w:rPr>
        <w:noProof/>
      </w:rPr>
      <w:drawing>
        <wp:inline distT="0" distB="0" distL="0" distR="0" wp14:anchorId="19CFE6E0" wp14:editId="4F7D38B8">
          <wp:extent cx="2276475" cy="1610128"/>
          <wp:effectExtent l="0" t="0" r="0" b="0"/>
          <wp:docPr id="815768979" name="Picture 2" descr="A purple shield with gold letters and a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68979" name="Picture 2" descr="A purple shield with gold letters and a ribb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446" cy="16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E4D"/>
    <w:multiLevelType w:val="hybridMultilevel"/>
    <w:tmpl w:val="7256F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470E"/>
    <w:multiLevelType w:val="hybridMultilevel"/>
    <w:tmpl w:val="21645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7803"/>
    <w:multiLevelType w:val="hybridMultilevel"/>
    <w:tmpl w:val="D8ACB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04453">
    <w:abstractNumId w:val="0"/>
  </w:num>
  <w:num w:numId="2" w16cid:durableId="779646168">
    <w:abstractNumId w:val="1"/>
  </w:num>
  <w:num w:numId="3" w16cid:durableId="191046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1"/>
    <w:rsid w:val="00025FB2"/>
    <w:rsid w:val="00061723"/>
    <w:rsid w:val="000B1E93"/>
    <w:rsid w:val="000B5186"/>
    <w:rsid w:val="000D7892"/>
    <w:rsid w:val="000E0B8D"/>
    <w:rsid w:val="000F4BBE"/>
    <w:rsid w:val="000F6C0D"/>
    <w:rsid w:val="00126097"/>
    <w:rsid w:val="0012781A"/>
    <w:rsid w:val="001472CC"/>
    <w:rsid w:val="0016042D"/>
    <w:rsid w:val="00181FAF"/>
    <w:rsid w:val="001839AF"/>
    <w:rsid w:val="001B5EE9"/>
    <w:rsid w:val="001C5B56"/>
    <w:rsid w:val="001D49C0"/>
    <w:rsid w:val="00251462"/>
    <w:rsid w:val="00255953"/>
    <w:rsid w:val="002751C9"/>
    <w:rsid w:val="00287B2A"/>
    <w:rsid w:val="002C74E9"/>
    <w:rsid w:val="002D131E"/>
    <w:rsid w:val="002E5E2D"/>
    <w:rsid w:val="002F3193"/>
    <w:rsid w:val="003251E5"/>
    <w:rsid w:val="0032749D"/>
    <w:rsid w:val="003666C8"/>
    <w:rsid w:val="00371E9E"/>
    <w:rsid w:val="003E2494"/>
    <w:rsid w:val="004017CB"/>
    <w:rsid w:val="0042694B"/>
    <w:rsid w:val="0044754C"/>
    <w:rsid w:val="00460277"/>
    <w:rsid w:val="00464D25"/>
    <w:rsid w:val="0048546C"/>
    <w:rsid w:val="004A5188"/>
    <w:rsid w:val="004C377A"/>
    <w:rsid w:val="004C3B4A"/>
    <w:rsid w:val="0050290D"/>
    <w:rsid w:val="005069E8"/>
    <w:rsid w:val="00515906"/>
    <w:rsid w:val="00527A3B"/>
    <w:rsid w:val="00534269"/>
    <w:rsid w:val="00563F4D"/>
    <w:rsid w:val="0058448A"/>
    <w:rsid w:val="005A0F93"/>
    <w:rsid w:val="005B73DE"/>
    <w:rsid w:val="005C2A95"/>
    <w:rsid w:val="005C6CFA"/>
    <w:rsid w:val="005D377D"/>
    <w:rsid w:val="005E2CB7"/>
    <w:rsid w:val="005F13B5"/>
    <w:rsid w:val="00697B66"/>
    <w:rsid w:val="006B10BA"/>
    <w:rsid w:val="006C5532"/>
    <w:rsid w:val="006D79B9"/>
    <w:rsid w:val="007046C9"/>
    <w:rsid w:val="00712850"/>
    <w:rsid w:val="00713622"/>
    <w:rsid w:val="0071510E"/>
    <w:rsid w:val="007325AE"/>
    <w:rsid w:val="00755549"/>
    <w:rsid w:val="00760F0A"/>
    <w:rsid w:val="00763AA5"/>
    <w:rsid w:val="00785851"/>
    <w:rsid w:val="007F3114"/>
    <w:rsid w:val="00872ED9"/>
    <w:rsid w:val="0089326C"/>
    <w:rsid w:val="008D709E"/>
    <w:rsid w:val="00917724"/>
    <w:rsid w:val="009218E3"/>
    <w:rsid w:val="00923910"/>
    <w:rsid w:val="00930E90"/>
    <w:rsid w:val="00964730"/>
    <w:rsid w:val="00970B8D"/>
    <w:rsid w:val="009713C8"/>
    <w:rsid w:val="00995D92"/>
    <w:rsid w:val="009972C7"/>
    <w:rsid w:val="009B38F1"/>
    <w:rsid w:val="009E4ACB"/>
    <w:rsid w:val="00A36288"/>
    <w:rsid w:val="00A4126A"/>
    <w:rsid w:val="00A84FFE"/>
    <w:rsid w:val="00AE26FA"/>
    <w:rsid w:val="00AF4D43"/>
    <w:rsid w:val="00B0084E"/>
    <w:rsid w:val="00B238BB"/>
    <w:rsid w:val="00B430AB"/>
    <w:rsid w:val="00B732DC"/>
    <w:rsid w:val="00BB232E"/>
    <w:rsid w:val="00BD4314"/>
    <w:rsid w:val="00C120D1"/>
    <w:rsid w:val="00C226AF"/>
    <w:rsid w:val="00C26AFF"/>
    <w:rsid w:val="00C50929"/>
    <w:rsid w:val="00C7613C"/>
    <w:rsid w:val="00CD6B50"/>
    <w:rsid w:val="00CD7DCC"/>
    <w:rsid w:val="00CF62E4"/>
    <w:rsid w:val="00D036E3"/>
    <w:rsid w:val="00D26390"/>
    <w:rsid w:val="00D271CB"/>
    <w:rsid w:val="00D36A1D"/>
    <w:rsid w:val="00D41D98"/>
    <w:rsid w:val="00D5360E"/>
    <w:rsid w:val="00D74950"/>
    <w:rsid w:val="00D96E16"/>
    <w:rsid w:val="00DC0A84"/>
    <w:rsid w:val="00DC3A42"/>
    <w:rsid w:val="00DC402D"/>
    <w:rsid w:val="00DF1020"/>
    <w:rsid w:val="00DF17CF"/>
    <w:rsid w:val="00E01B4B"/>
    <w:rsid w:val="00E05922"/>
    <w:rsid w:val="00E07920"/>
    <w:rsid w:val="00E141C2"/>
    <w:rsid w:val="00E146C5"/>
    <w:rsid w:val="00E30B46"/>
    <w:rsid w:val="00E51AF7"/>
    <w:rsid w:val="00E761C4"/>
    <w:rsid w:val="00E77C03"/>
    <w:rsid w:val="00E913BE"/>
    <w:rsid w:val="00EB34DD"/>
    <w:rsid w:val="00EC09BF"/>
    <w:rsid w:val="00EC62CB"/>
    <w:rsid w:val="00EF7B6F"/>
    <w:rsid w:val="00EF7EAF"/>
    <w:rsid w:val="00F1184A"/>
    <w:rsid w:val="00F90799"/>
    <w:rsid w:val="00FC30F7"/>
    <w:rsid w:val="00FE6AA2"/>
    <w:rsid w:val="00FE7506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1392"/>
  <w15:chartTrackingRefBased/>
  <w15:docId w15:val="{8BCA9DF5-5966-4933-AB04-2267FEA3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851"/>
  </w:style>
  <w:style w:type="paragraph" w:styleId="Footer">
    <w:name w:val="footer"/>
    <w:basedOn w:val="Normal"/>
    <w:link w:val="FooterChar"/>
    <w:uiPriority w:val="99"/>
    <w:unhideWhenUsed/>
    <w:rsid w:val="0078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851"/>
  </w:style>
  <w:style w:type="table" w:styleId="TableGrid">
    <w:name w:val="Table Grid"/>
    <w:basedOn w:val="TableNormal"/>
    <w:uiPriority w:val="39"/>
    <w:rsid w:val="0078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Cutts</dc:creator>
  <cp:keywords/>
  <dc:description/>
  <cp:lastModifiedBy>Bex Cutts</cp:lastModifiedBy>
  <cp:revision>5</cp:revision>
  <cp:lastPrinted>2025-06-30T10:26:00Z</cp:lastPrinted>
  <dcterms:created xsi:type="dcterms:W3CDTF">2025-06-30T14:28:00Z</dcterms:created>
  <dcterms:modified xsi:type="dcterms:W3CDTF">2025-09-09T14:09:00Z</dcterms:modified>
</cp:coreProperties>
</file>